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6E" w:rsidRPr="001A6B9F" w:rsidRDefault="000A026E" w:rsidP="00AE53AC">
      <w:pPr>
        <w:pBdr>
          <w:top w:val="single" w:sz="4" w:space="1" w:color="auto"/>
          <w:left w:val="single" w:sz="4" w:space="4" w:color="auto"/>
          <w:bottom w:val="single" w:sz="4" w:space="1" w:color="auto"/>
          <w:right w:val="single" w:sz="4" w:space="4" w:color="auto"/>
        </w:pBdr>
        <w:tabs>
          <w:tab w:val="left" w:pos="142"/>
        </w:tabs>
        <w:ind w:left="142"/>
        <w:jc w:val="center"/>
        <w:rPr>
          <w:rFonts w:ascii="Arial" w:hAnsi="Arial" w:cs="Arial"/>
          <w:b/>
          <w:sz w:val="20"/>
          <w:szCs w:val="20"/>
          <w:lang w:val="en-GB"/>
        </w:rPr>
      </w:pPr>
      <w:r w:rsidRPr="001A6B9F">
        <w:rPr>
          <w:rFonts w:ascii="Arial" w:hAnsi="Arial" w:cs="Arial"/>
          <w:b/>
          <w:sz w:val="20"/>
          <w:szCs w:val="20"/>
          <w:lang w:val="en-GB"/>
        </w:rPr>
        <w:t>10</w:t>
      </w:r>
      <w:r>
        <w:rPr>
          <w:rFonts w:ascii="Arial" w:hAnsi="Arial" w:cs="Arial"/>
          <w:b/>
          <w:sz w:val="20"/>
          <w:szCs w:val="20"/>
          <w:lang w:val="en-GB"/>
        </w:rPr>
        <w:t xml:space="preserve"> principales </w:t>
      </w:r>
      <w:r w:rsidRPr="001A6B9F">
        <w:rPr>
          <w:rFonts w:ascii="Arial" w:hAnsi="Arial" w:cs="Arial"/>
          <w:b/>
          <w:sz w:val="20"/>
          <w:szCs w:val="20"/>
          <w:lang w:val="en-GB"/>
        </w:rPr>
        <w:t xml:space="preserve"> </w:t>
      </w:r>
      <w:r>
        <w:rPr>
          <w:rFonts w:ascii="Arial" w:hAnsi="Arial" w:cs="Arial"/>
          <w:b/>
          <w:sz w:val="20"/>
          <w:szCs w:val="20"/>
          <w:lang w:val="en-GB"/>
        </w:rPr>
        <w:t>p</w:t>
      </w:r>
      <w:r w:rsidRPr="001A6B9F">
        <w:rPr>
          <w:rFonts w:ascii="Arial" w:hAnsi="Arial" w:cs="Arial"/>
          <w:b/>
          <w:sz w:val="20"/>
          <w:szCs w:val="20"/>
          <w:lang w:val="en-GB"/>
        </w:rPr>
        <w:t>ublications sur 5 an</w:t>
      </w:r>
      <w:r>
        <w:rPr>
          <w:rFonts w:ascii="Arial" w:hAnsi="Arial" w:cs="Arial"/>
          <w:b/>
          <w:sz w:val="20"/>
          <w:szCs w:val="20"/>
          <w:lang w:val="en-GB"/>
        </w:rPr>
        <w:t>nées</w:t>
      </w:r>
    </w:p>
    <w:p w:rsidR="000A026E" w:rsidRPr="001A6B9F" w:rsidRDefault="000A026E" w:rsidP="00AE53AC">
      <w:pPr>
        <w:tabs>
          <w:tab w:val="left" w:pos="142"/>
        </w:tabs>
        <w:ind w:left="142"/>
        <w:jc w:val="both"/>
        <w:rPr>
          <w:rFonts w:ascii="Arial" w:hAnsi="Arial" w:cs="Arial"/>
          <w:b/>
          <w:sz w:val="20"/>
          <w:szCs w:val="20"/>
          <w:lang w:val="en-GB"/>
        </w:rPr>
      </w:pPr>
    </w:p>
    <w:p w:rsidR="000A026E" w:rsidRPr="001A6B9F" w:rsidRDefault="000A026E" w:rsidP="001A6B9F">
      <w:pPr>
        <w:numPr>
          <w:ilvl w:val="0"/>
          <w:numId w:val="6"/>
        </w:numPr>
        <w:tabs>
          <w:tab w:val="left" w:pos="142"/>
        </w:tabs>
        <w:jc w:val="both"/>
        <w:rPr>
          <w:rFonts w:ascii="Arial" w:hAnsi="Arial" w:cs="Arial"/>
          <w:b/>
          <w:sz w:val="20"/>
          <w:szCs w:val="20"/>
          <w:lang w:val="en-GB"/>
        </w:rPr>
      </w:pPr>
      <w:r w:rsidRPr="001A6B9F">
        <w:rPr>
          <w:rFonts w:ascii="Arial" w:hAnsi="Arial" w:cs="Arial"/>
          <w:b/>
          <w:sz w:val="20"/>
          <w:szCs w:val="20"/>
          <w:lang w:val="en-GB"/>
        </w:rPr>
        <w:t xml:space="preserve">Berbis J, Michel G, Baruchel A, Bertrand Y, Chastagner P, Demeocq F, Kanold J, Leverger G, Plantaz D, Poirée M, Stephan JL, Auquier P, Contet A, Dalle JH, Ducassou S, </w:t>
      </w:r>
      <w:r w:rsidRPr="001A6B9F">
        <w:rPr>
          <w:rFonts w:ascii="Arial" w:hAnsi="Arial" w:cs="Arial"/>
          <w:b/>
          <w:i/>
          <w:sz w:val="20"/>
          <w:szCs w:val="20"/>
          <w:u w:val="single"/>
          <w:lang w:val="en-GB"/>
        </w:rPr>
        <w:t>Gandemer V</w:t>
      </w:r>
      <w:r w:rsidRPr="001A6B9F">
        <w:rPr>
          <w:rFonts w:ascii="Arial" w:hAnsi="Arial" w:cs="Arial"/>
          <w:b/>
          <w:sz w:val="20"/>
          <w:szCs w:val="20"/>
          <w:lang w:val="en-GB"/>
        </w:rPr>
        <w:t>, Lutz P, Sirvent N, Tabone MD, Thouvenin-Doulet S.</w:t>
      </w:r>
    </w:p>
    <w:p w:rsidR="000A026E" w:rsidRPr="001A6B9F" w:rsidRDefault="000A026E" w:rsidP="001A6B9F">
      <w:pPr>
        <w:tabs>
          <w:tab w:val="left" w:pos="142"/>
        </w:tabs>
        <w:ind w:left="540"/>
        <w:jc w:val="both"/>
        <w:rPr>
          <w:rFonts w:ascii="Arial" w:hAnsi="Arial" w:cs="Arial"/>
          <w:sz w:val="20"/>
          <w:szCs w:val="20"/>
          <w:lang w:val="en-GB"/>
        </w:rPr>
      </w:pPr>
      <w:r w:rsidRPr="001A6B9F">
        <w:rPr>
          <w:rFonts w:ascii="Arial" w:hAnsi="Arial" w:cs="Arial"/>
          <w:sz w:val="20"/>
          <w:szCs w:val="20"/>
          <w:lang w:val="en-GB"/>
        </w:rPr>
        <w:t>Cohort Profile: The French Childhood Cancer Survivor Study For Leukaemia (LEA Cohort).</w:t>
      </w:r>
    </w:p>
    <w:p w:rsidR="000A026E" w:rsidRPr="001A6B9F" w:rsidRDefault="000A026E" w:rsidP="001A6B9F">
      <w:pPr>
        <w:tabs>
          <w:tab w:val="left" w:pos="142"/>
        </w:tabs>
        <w:ind w:left="540"/>
        <w:jc w:val="both"/>
        <w:rPr>
          <w:rFonts w:ascii="Arial" w:hAnsi="Arial" w:cs="Arial"/>
          <w:sz w:val="20"/>
          <w:szCs w:val="20"/>
          <w:lang w:val="en-GB"/>
        </w:rPr>
      </w:pPr>
      <w:r w:rsidRPr="001A6B9F">
        <w:rPr>
          <w:rFonts w:ascii="Arial" w:hAnsi="Arial" w:cs="Arial"/>
          <w:sz w:val="20"/>
          <w:szCs w:val="20"/>
          <w:lang w:val="en-GB"/>
        </w:rPr>
        <w:t>Int J Epidemiol. 2014 Mar 17. [Epub ahead of print]</w:t>
      </w:r>
    </w:p>
    <w:p w:rsidR="000A026E" w:rsidRPr="001A6B9F" w:rsidRDefault="000A026E" w:rsidP="001A6B9F">
      <w:pPr>
        <w:tabs>
          <w:tab w:val="left" w:pos="142"/>
        </w:tabs>
        <w:ind w:left="142"/>
        <w:jc w:val="both"/>
        <w:rPr>
          <w:rFonts w:ascii="Arial" w:hAnsi="Arial" w:cs="Arial"/>
          <w:b/>
          <w:sz w:val="20"/>
          <w:szCs w:val="20"/>
          <w:lang w:val="en-GB"/>
        </w:rPr>
      </w:pPr>
    </w:p>
    <w:p w:rsidR="000A026E" w:rsidRPr="002949D5" w:rsidRDefault="000A026E" w:rsidP="001A6B9F">
      <w:pPr>
        <w:numPr>
          <w:ilvl w:val="0"/>
          <w:numId w:val="6"/>
        </w:numPr>
        <w:tabs>
          <w:tab w:val="left" w:pos="142"/>
        </w:tabs>
        <w:jc w:val="both"/>
        <w:rPr>
          <w:rFonts w:ascii="Arial" w:hAnsi="Arial" w:cs="Arial"/>
          <w:b/>
          <w:sz w:val="20"/>
          <w:szCs w:val="20"/>
          <w:lang w:val="de-DE"/>
        </w:rPr>
      </w:pPr>
      <w:r w:rsidRPr="002949D5">
        <w:rPr>
          <w:rFonts w:ascii="Arial" w:hAnsi="Arial" w:cs="Arial"/>
          <w:b/>
          <w:i/>
          <w:sz w:val="20"/>
          <w:szCs w:val="20"/>
          <w:u w:val="single"/>
          <w:lang w:val="en-GB"/>
        </w:rPr>
        <w:t>V. Gandemer</w:t>
      </w:r>
      <w:r w:rsidRPr="002949D5">
        <w:rPr>
          <w:rFonts w:ascii="Arial" w:hAnsi="Arial" w:cs="Arial"/>
          <w:b/>
          <w:sz w:val="20"/>
          <w:szCs w:val="20"/>
          <w:lang w:val="en-GB"/>
        </w:rPr>
        <w:t xml:space="preserve">, C. Pochon, E. Oger, JH. </w:t>
      </w:r>
      <w:r w:rsidRPr="002949D5">
        <w:rPr>
          <w:rFonts w:ascii="Arial" w:hAnsi="Arial" w:cs="Arial"/>
          <w:b/>
          <w:sz w:val="20"/>
          <w:szCs w:val="20"/>
          <w:lang w:val="de-DE"/>
        </w:rPr>
        <w:t>Dalle, G. Michel, C. Schmitt, E.de Berranger, C. Galambrun, H. Cavé, JM. Cayuela, N. Grardel, E.Macintyre, G. Margueritte, F. Méchinaud, P. Rorhlich, P. Lutz, F. Demeocq, P. Schneider, D. Plantaz, M. Poirée and P. Bordigoni</w:t>
      </w:r>
    </w:p>
    <w:p w:rsidR="000A026E" w:rsidRDefault="000A026E" w:rsidP="00AE53AC">
      <w:pPr>
        <w:ind w:left="502"/>
        <w:jc w:val="both"/>
        <w:rPr>
          <w:rFonts w:ascii="Arial" w:hAnsi="Arial" w:cs="Arial"/>
          <w:bCs/>
          <w:sz w:val="20"/>
          <w:szCs w:val="20"/>
          <w:lang w:val="en-GB"/>
        </w:rPr>
      </w:pPr>
      <w:r w:rsidRPr="002949D5">
        <w:rPr>
          <w:rFonts w:ascii="Arial" w:hAnsi="Arial" w:cs="Arial"/>
          <w:bCs/>
          <w:sz w:val="20"/>
          <w:szCs w:val="20"/>
          <w:lang w:val="en-GB"/>
        </w:rPr>
        <w:t>Clinical value of pre-transplant minimal residual disease in childhood lymphoblastic leukaemia: the results of the French MRD-guided protocol</w:t>
      </w:r>
    </w:p>
    <w:p w:rsidR="000A026E" w:rsidRDefault="000A026E" w:rsidP="00AE53AC">
      <w:pPr>
        <w:tabs>
          <w:tab w:val="left" w:pos="142"/>
        </w:tabs>
        <w:ind w:left="502"/>
        <w:jc w:val="both"/>
        <w:rPr>
          <w:rFonts w:ascii="Arial" w:hAnsi="Arial" w:cs="Arial"/>
          <w:sz w:val="20"/>
          <w:szCs w:val="20"/>
        </w:rPr>
      </w:pPr>
      <w:r w:rsidRPr="00954528">
        <w:rPr>
          <w:rFonts w:ascii="Arial" w:hAnsi="Arial"/>
          <w:sz w:val="20"/>
          <w:lang w:val="en-GB"/>
        </w:rPr>
        <w:t>Br J Haematol</w:t>
      </w:r>
      <w:r>
        <w:rPr>
          <w:rFonts w:ascii="Arial" w:hAnsi="Arial"/>
          <w:sz w:val="20"/>
          <w:lang w:val="en-GB"/>
        </w:rPr>
        <w:t xml:space="preserve"> </w:t>
      </w:r>
      <w:r w:rsidRPr="001A6B9F">
        <w:rPr>
          <w:rFonts w:ascii="Arial" w:hAnsi="Arial" w:cs="Arial"/>
          <w:sz w:val="20"/>
          <w:szCs w:val="20"/>
        </w:rPr>
        <w:t>2014 May;165(3):392-401</w:t>
      </w:r>
    </w:p>
    <w:p w:rsidR="000A026E" w:rsidRDefault="000A026E" w:rsidP="001A6B9F">
      <w:pPr>
        <w:tabs>
          <w:tab w:val="left" w:pos="142"/>
        </w:tabs>
        <w:ind w:left="502"/>
        <w:jc w:val="both"/>
        <w:rPr>
          <w:rFonts w:ascii="Arial" w:hAnsi="Arial"/>
          <w:b/>
          <w:sz w:val="20"/>
        </w:rPr>
      </w:pPr>
    </w:p>
    <w:p w:rsidR="000A026E" w:rsidRPr="001A6B9F" w:rsidRDefault="000A026E" w:rsidP="001A6B9F">
      <w:pPr>
        <w:numPr>
          <w:ilvl w:val="0"/>
          <w:numId w:val="6"/>
        </w:numPr>
        <w:tabs>
          <w:tab w:val="left" w:pos="142"/>
        </w:tabs>
        <w:jc w:val="both"/>
        <w:rPr>
          <w:rFonts w:ascii="Arial" w:hAnsi="Arial"/>
          <w:b/>
          <w:sz w:val="20"/>
        </w:rPr>
      </w:pPr>
      <w:r w:rsidRPr="001A6B9F">
        <w:rPr>
          <w:rFonts w:ascii="Arial" w:hAnsi="Arial"/>
          <w:b/>
          <w:sz w:val="20"/>
        </w:rPr>
        <w:t xml:space="preserve">Launay E, Henry C, Meyer C, Chappé C, Taque S, Boulland ML, Ben Abdelali R, Dugay F, Marschalek R, Bastard C, Fest T, </w:t>
      </w:r>
      <w:r w:rsidRPr="001A6B9F">
        <w:rPr>
          <w:rFonts w:ascii="Arial" w:hAnsi="Arial"/>
          <w:b/>
          <w:i/>
          <w:sz w:val="20"/>
          <w:u w:val="single"/>
        </w:rPr>
        <w:t>Gandemer V</w:t>
      </w:r>
      <w:r w:rsidRPr="001A6B9F">
        <w:rPr>
          <w:rFonts w:ascii="Arial" w:hAnsi="Arial"/>
          <w:b/>
          <w:sz w:val="20"/>
        </w:rPr>
        <w:t>, Belaud-Rotureau MA.</w:t>
      </w:r>
    </w:p>
    <w:p w:rsidR="000A026E" w:rsidRPr="001A6B9F" w:rsidRDefault="000A026E" w:rsidP="001A6B9F">
      <w:pPr>
        <w:tabs>
          <w:tab w:val="left" w:pos="142"/>
        </w:tabs>
        <w:ind w:left="502"/>
        <w:jc w:val="both"/>
        <w:rPr>
          <w:rFonts w:ascii="Arial" w:hAnsi="Arial"/>
          <w:sz w:val="20"/>
        </w:rPr>
      </w:pPr>
      <w:r w:rsidRPr="001A6B9F">
        <w:rPr>
          <w:rFonts w:ascii="Arial" w:hAnsi="Arial"/>
          <w:sz w:val="20"/>
        </w:rPr>
        <w:t>MLL-SEPT5 fusion transcript in infant acute myeloid leukemia with t(11;22)(q23;q11).</w:t>
      </w:r>
    </w:p>
    <w:p w:rsidR="000A026E" w:rsidRPr="001A6B9F" w:rsidRDefault="000A026E" w:rsidP="001A6B9F">
      <w:pPr>
        <w:tabs>
          <w:tab w:val="left" w:pos="142"/>
        </w:tabs>
        <w:ind w:left="502"/>
        <w:jc w:val="both"/>
        <w:rPr>
          <w:rFonts w:ascii="Arial" w:hAnsi="Arial"/>
          <w:sz w:val="20"/>
          <w:lang w:val="pt-BR"/>
        </w:rPr>
      </w:pPr>
      <w:r w:rsidRPr="001A6B9F">
        <w:rPr>
          <w:rFonts w:ascii="Arial" w:hAnsi="Arial"/>
          <w:sz w:val="20"/>
          <w:lang w:val="pt-BR"/>
        </w:rPr>
        <w:t>Leuk Lymphoma. 2014 Mar;55(3):662-7. doi: 10.3109/10428194.2013.809528. Epub 2013 Aug 20.</w:t>
      </w:r>
    </w:p>
    <w:p w:rsidR="000A026E" w:rsidRPr="001A6B9F" w:rsidRDefault="000A026E" w:rsidP="001A6B9F">
      <w:pPr>
        <w:pStyle w:val="desc"/>
        <w:spacing w:before="0" w:beforeAutospacing="0" w:after="0" w:afterAutospacing="0"/>
        <w:jc w:val="both"/>
        <w:rPr>
          <w:rFonts w:ascii="Arial" w:hAnsi="Arial" w:cs="Arial"/>
          <w:b/>
          <w:sz w:val="20"/>
          <w:szCs w:val="20"/>
          <w:lang w:val="pt-BR"/>
        </w:rPr>
      </w:pPr>
    </w:p>
    <w:p w:rsidR="000A026E" w:rsidRDefault="000A026E" w:rsidP="00AE53AC">
      <w:pPr>
        <w:pStyle w:val="desc"/>
        <w:numPr>
          <w:ilvl w:val="0"/>
          <w:numId w:val="6"/>
        </w:numPr>
        <w:spacing w:before="0" w:beforeAutospacing="0" w:after="0" w:afterAutospacing="0"/>
        <w:jc w:val="both"/>
        <w:rPr>
          <w:rFonts w:ascii="Arial" w:hAnsi="Arial" w:cs="Arial"/>
          <w:b/>
          <w:sz w:val="20"/>
          <w:szCs w:val="20"/>
          <w:lang w:val="en-GB"/>
        </w:rPr>
      </w:pPr>
      <w:r>
        <w:rPr>
          <w:rFonts w:ascii="Arial" w:hAnsi="Arial" w:cs="Arial"/>
          <w:b/>
          <w:sz w:val="20"/>
          <w:szCs w:val="20"/>
          <w:lang w:val="en-GB"/>
        </w:rPr>
        <w:t xml:space="preserve">Caye A, Beldjord K, Mass-Malo K, Drunat S, Soulier J, </w:t>
      </w:r>
      <w:r w:rsidRPr="00B538AC">
        <w:rPr>
          <w:rFonts w:ascii="Arial" w:hAnsi="Arial" w:cs="Arial"/>
          <w:b/>
          <w:i/>
          <w:sz w:val="20"/>
          <w:szCs w:val="20"/>
          <w:u w:val="single"/>
          <w:lang w:val="en-GB"/>
        </w:rPr>
        <w:t>Gandemer V</w:t>
      </w:r>
      <w:r>
        <w:rPr>
          <w:rFonts w:ascii="Arial" w:hAnsi="Arial" w:cs="Arial"/>
          <w:b/>
          <w:sz w:val="20"/>
          <w:szCs w:val="20"/>
          <w:lang w:val="en-GB"/>
        </w:rPr>
        <w:t>, Baruchel A, Bertrand Y, Cavé H, Clappier E.</w:t>
      </w:r>
    </w:p>
    <w:p w:rsidR="000A026E" w:rsidRDefault="000A026E" w:rsidP="00AE53AC">
      <w:pPr>
        <w:pStyle w:val="desc"/>
        <w:spacing w:before="0" w:beforeAutospacing="0" w:after="0" w:afterAutospacing="0"/>
        <w:ind w:left="360"/>
        <w:jc w:val="both"/>
        <w:rPr>
          <w:rFonts w:ascii="Arial" w:hAnsi="Arial" w:cs="Arial"/>
          <w:sz w:val="20"/>
          <w:szCs w:val="20"/>
          <w:lang w:val="en-GB"/>
        </w:rPr>
      </w:pPr>
      <w:r>
        <w:rPr>
          <w:rFonts w:ascii="Arial" w:hAnsi="Arial" w:cs="Arial"/>
          <w:sz w:val="20"/>
          <w:szCs w:val="20"/>
          <w:lang w:val="en-GB"/>
        </w:rPr>
        <w:t>Breakpoint-specific multiplex polymerase chain reaction allows the detection of IKZF1 intragenic deletions and minimal residual disease monitoring in B-cell precursor acute lymphoblastic leukemia.</w:t>
      </w:r>
    </w:p>
    <w:p w:rsidR="000A026E" w:rsidRDefault="000A026E" w:rsidP="00AE53AC">
      <w:pPr>
        <w:pStyle w:val="desc"/>
        <w:spacing w:before="0" w:beforeAutospacing="0" w:after="0" w:afterAutospacing="0"/>
        <w:ind w:left="360"/>
        <w:jc w:val="both"/>
        <w:rPr>
          <w:rFonts w:ascii="Arial" w:hAnsi="Arial" w:cs="Arial"/>
          <w:sz w:val="20"/>
          <w:szCs w:val="20"/>
          <w:lang w:val="en-GB"/>
        </w:rPr>
      </w:pPr>
      <w:r>
        <w:rPr>
          <w:rFonts w:ascii="Arial" w:hAnsi="Arial" w:cs="Arial"/>
          <w:sz w:val="20"/>
          <w:szCs w:val="20"/>
          <w:lang w:val="en-GB"/>
        </w:rPr>
        <w:t>Haematologica. 2013 Apr;98(4):597-601. doi: 10.3324/haematol.2012.073965. Epub 2012 Oct 12.</w:t>
      </w:r>
    </w:p>
    <w:p w:rsidR="000A026E" w:rsidRDefault="000A026E" w:rsidP="00AE53AC">
      <w:pPr>
        <w:pStyle w:val="desc"/>
        <w:spacing w:before="0" w:beforeAutospacing="0" w:after="0" w:afterAutospacing="0"/>
        <w:ind w:left="360"/>
        <w:jc w:val="both"/>
        <w:rPr>
          <w:rFonts w:ascii="Arial" w:hAnsi="Arial" w:cs="Arial"/>
          <w:sz w:val="20"/>
          <w:szCs w:val="20"/>
          <w:lang w:val="en-GB"/>
        </w:rPr>
      </w:pPr>
    </w:p>
    <w:p w:rsidR="000A026E" w:rsidRPr="0086445F" w:rsidRDefault="000A026E" w:rsidP="00B538AC">
      <w:pPr>
        <w:pStyle w:val="desc"/>
        <w:numPr>
          <w:ilvl w:val="0"/>
          <w:numId w:val="6"/>
        </w:numPr>
        <w:spacing w:before="0" w:beforeAutospacing="0" w:after="0" w:afterAutospacing="0"/>
        <w:jc w:val="both"/>
        <w:rPr>
          <w:rFonts w:ascii="Arial" w:hAnsi="Arial" w:cs="Arial"/>
          <w:b/>
          <w:sz w:val="20"/>
          <w:szCs w:val="20"/>
          <w:lang w:val="en-GB"/>
        </w:rPr>
      </w:pPr>
      <w:r w:rsidRPr="0086445F">
        <w:rPr>
          <w:rFonts w:ascii="Arial" w:hAnsi="Arial" w:cs="Arial"/>
          <w:b/>
          <w:sz w:val="20"/>
          <w:szCs w:val="20"/>
          <w:lang w:val="en-GB"/>
        </w:rPr>
        <w:t xml:space="preserve">Daikeler T, Labopin M, Ruggeri A, Crotta A, Abinun M, Hussein AA, Carlson K, Cornillon J, Diez-Martin JL, </w:t>
      </w:r>
      <w:r w:rsidRPr="00B538AC">
        <w:rPr>
          <w:rFonts w:ascii="Arial" w:hAnsi="Arial" w:cs="Arial"/>
          <w:b/>
          <w:bCs/>
          <w:i/>
          <w:sz w:val="20"/>
          <w:szCs w:val="20"/>
          <w:u w:val="single"/>
          <w:lang w:val="en-GB"/>
        </w:rPr>
        <w:t>Gandemer V</w:t>
      </w:r>
      <w:r w:rsidRPr="0086445F">
        <w:rPr>
          <w:rFonts w:ascii="Arial" w:hAnsi="Arial" w:cs="Arial"/>
          <w:b/>
          <w:sz w:val="20"/>
          <w:szCs w:val="20"/>
          <w:lang w:val="en-GB"/>
        </w:rPr>
        <w:t>, Faraci M, Lindemans C, O'Meara A, Mialou V, Renard M, Sedlacek P, Sirvent A, Socié G, Sora F, Varotto S, Sanz J, Voswinkel J, Vora A, Yesilipek MA, Herr AL, Gluckman E, Farge D, Rocha V.</w:t>
      </w:r>
    </w:p>
    <w:p w:rsidR="000A026E" w:rsidRPr="0086445F" w:rsidRDefault="000A026E" w:rsidP="00B538AC">
      <w:pPr>
        <w:pStyle w:val="Title"/>
        <w:spacing w:before="2" w:beforeAutospacing="0" w:after="2" w:afterAutospacing="0"/>
        <w:ind w:left="360"/>
        <w:jc w:val="both"/>
        <w:rPr>
          <w:rFonts w:ascii="Arial" w:hAnsi="Arial" w:cs="Arial"/>
          <w:sz w:val="20"/>
          <w:szCs w:val="20"/>
          <w:lang w:val="en-GB"/>
        </w:rPr>
      </w:pPr>
      <w:r w:rsidRPr="0086445F">
        <w:rPr>
          <w:rFonts w:ascii="Arial" w:hAnsi="Arial" w:cs="Arial"/>
          <w:sz w:val="20"/>
          <w:szCs w:val="20"/>
          <w:lang w:val="en-GB"/>
        </w:rPr>
        <w:t>New autoimmune diseases after cord blood transplantation: a retrospective study of EUROCORD and the Autoimmune Disease Working Party of the European Group for Blood and Marrow Transplantation.</w:t>
      </w:r>
    </w:p>
    <w:p w:rsidR="000A026E" w:rsidRDefault="000A026E" w:rsidP="00B538AC">
      <w:pPr>
        <w:pStyle w:val="desc"/>
        <w:spacing w:before="0" w:beforeAutospacing="0" w:after="0" w:afterAutospacing="0"/>
        <w:ind w:left="360"/>
        <w:jc w:val="both"/>
        <w:rPr>
          <w:rFonts w:ascii="Arial" w:hAnsi="Arial" w:cs="Arial"/>
          <w:sz w:val="20"/>
          <w:szCs w:val="20"/>
          <w:lang w:val="en-GB"/>
        </w:rPr>
      </w:pPr>
      <w:r w:rsidRPr="0086445F">
        <w:rPr>
          <w:rStyle w:val="jrnl"/>
          <w:rFonts w:ascii="Arial" w:hAnsi="Arial" w:cs="Arial"/>
          <w:sz w:val="20"/>
          <w:szCs w:val="20"/>
          <w:lang w:val="en-GB"/>
        </w:rPr>
        <w:t>Blood</w:t>
      </w:r>
      <w:r w:rsidRPr="0086445F">
        <w:rPr>
          <w:rFonts w:ascii="Arial" w:hAnsi="Arial" w:cs="Arial"/>
          <w:sz w:val="20"/>
          <w:szCs w:val="20"/>
          <w:lang w:val="en-GB"/>
        </w:rPr>
        <w:t>. 2013 Feb 7;121(6):1059-64. doi: 10.1182/blood-2012-07-445965. Epub 2012 Dec 17</w:t>
      </w:r>
    </w:p>
    <w:p w:rsidR="000A026E" w:rsidRDefault="000A026E" w:rsidP="00B538AC">
      <w:pPr>
        <w:pStyle w:val="desc"/>
        <w:spacing w:before="0" w:beforeAutospacing="0" w:after="0" w:afterAutospacing="0"/>
        <w:ind w:left="360"/>
        <w:jc w:val="both"/>
        <w:rPr>
          <w:rFonts w:ascii="Arial" w:hAnsi="Arial" w:cs="Arial"/>
          <w:sz w:val="20"/>
          <w:szCs w:val="20"/>
          <w:lang w:val="en-GB"/>
        </w:rPr>
      </w:pPr>
    </w:p>
    <w:p w:rsidR="000A026E" w:rsidRPr="009F6A55" w:rsidRDefault="000A026E" w:rsidP="00AE53AC">
      <w:pPr>
        <w:numPr>
          <w:ilvl w:val="0"/>
          <w:numId w:val="6"/>
        </w:numPr>
        <w:autoSpaceDE w:val="0"/>
        <w:autoSpaceDN w:val="0"/>
        <w:adjustRightInd w:val="0"/>
        <w:jc w:val="both"/>
        <w:rPr>
          <w:rFonts w:ascii="Arial" w:hAnsi="Arial" w:cs="Arial"/>
          <w:b/>
          <w:sz w:val="20"/>
          <w:szCs w:val="20"/>
          <w:lang w:val="en-GB"/>
        </w:rPr>
      </w:pPr>
      <w:r w:rsidRPr="009F6A55">
        <w:rPr>
          <w:rFonts w:ascii="Arial" w:hAnsi="Arial" w:cs="Arial"/>
          <w:b/>
          <w:i/>
          <w:sz w:val="20"/>
          <w:szCs w:val="20"/>
          <w:u w:val="single"/>
          <w:lang w:val="en-US"/>
        </w:rPr>
        <w:t>V. Gandemer</w:t>
      </w:r>
      <w:r w:rsidRPr="009F6A55">
        <w:rPr>
          <w:rFonts w:ascii="Arial" w:hAnsi="Arial" w:cs="Arial"/>
          <w:b/>
          <w:sz w:val="20"/>
          <w:szCs w:val="20"/>
          <w:lang w:val="en-US"/>
        </w:rPr>
        <w:t xml:space="preserve">, S. Chevret, A. Petit, C. Vermylen, T. Leblanc, G. Michel, C. Schmitt, O. Lejars, P. Schneider, F. Demeocq, B. Bader-Meunier, F. Bernaudin, Y. Perel, MF. </w:t>
      </w:r>
      <w:r w:rsidRPr="009F6A55">
        <w:rPr>
          <w:rFonts w:ascii="Arial" w:hAnsi="Arial" w:cs="Arial"/>
          <w:b/>
          <w:sz w:val="20"/>
          <w:szCs w:val="20"/>
          <w:lang w:val="en-GB"/>
        </w:rPr>
        <w:t xml:space="preserve">Auclerc, JM. Cayuela, , G. Leverger and A. Baruchel on behalf of the FRALLE group </w:t>
      </w:r>
    </w:p>
    <w:p w:rsidR="000A026E" w:rsidRPr="009F6A55" w:rsidRDefault="000A026E" w:rsidP="00AE53AC">
      <w:pPr>
        <w:autoSpaceDE w:val="0"/>
        <w:autoSpaceDN w:val="0"/>
        <w:adjustRightInd w:val="0"/>
        <w:ind w:left="360"/>
        <w:jc w:val="both"/>
        <w:rPr>
          <w:rFonts w:ascii="Arial" w:hAnsi="Arial" w:cs="Arial"/>
          <w:sz w:val="20"/>
          <w:szCs w:val="20"/>
          <w:lang w:val="en-US"/>
        </w:rPr>
      </w:pPr>
      <w:r w:rsidRPr="009F6A55">
        <w:rPr>
          <w:rFonts w:ascii="Arial" w:hAnsi="Arial" w:cs="Arial"/>
          <w:sz w:val="20"/>
          <w:szCs w:val="20"/>
          <w:lang w:val="en-US"/>
        </w:rPr>
        <w:t xml:space="preserve">Excellent prognosis of late relapses of </w:t>
      </w:r>
      <w:r w:rsidRPr="009F6A55">
        <w:rPr>
          <w:rFonts w:ascii="Arial" w:hAnsi="Arial" w:cs="Arial"/>
          <w:i/>
          <w:sz w:val="20"/>
          <w:szCs w:val="20"/>
          <w:lang w:val="en-US"/>
        </w:rPr>
        <w:t>ETV6/RUNX1-</w:t>
      </w:r>
      <w:r w:rsidRPr="009F6A55">
        <w:rPr>
          <w:rFonts w:ascii="Arial" w:hAnsi="Arial" w:cs="Arial"/>
          <w:sz w:val="20"/>
          <w:szCs w:val="20"/>
          <w:lang w:val="en-US"/>
        </w:rPr>
        <w:t>positive childhood acute lymphoblastic leukemia: lessons from the FRALLE 93 protocol</w:t>
      </w:r>
    </w:p>
    <w:p w:rsidR="000A026E" w:rsidRPr="009F6A55" w:rsidRDefault="000A026E" w:rsidP="00AE53AC">
      <w:pPr>
        <w:pStyle w:val="details"/>
        <w:spacing w:before="0" w:beforeAutospacing="0" w:after="0" w:afterAutospacing="0"/>
        <w:ind w:firstLine="360"/>
        <w:rPr>
          <w:rFonts w:ascii="Arial" w:hAnsi="Arial" w:cs="Arial"/>
          <w:sz w:val="20"/>
          <w:szCs w:val="20"/>
          <w:lang w:val="en-GB"/>
        </w:rPr>
      </w:pPr>
      <w:r w:rsidRPr="009F6A55">
        <w:rPr>
          <w:rFonts w:ascii="Arial" w:hAnsi="Arial" w:cs="Arial"/>
          <w:sz w:val="20"/>
          <w:szCs w:val="20"/>
          <w:lang w:val="en-GB"/>
        </w:rPr>
        <w:t>Haematologica 2012 May 11. [Epub ahead of print]</w:t>
      </w:r>
    </w:p>
    <w:p w:rsidR="000A026E" w:rsidRPr="009F6A55" w:rsidRDefault="000A026E" w:rsidP="00AE53AC">
      <w:pPr>
        <w:pStyle w:val="details"/>
        <w:spacing w:before="0" w:beforeAutospacing="0" w:after="0" w:afterAutospacing="0"/>
        <w:rPr>
          <w:rFonts w:ascii="Arial" w:hAnsi="Arial" w:cs="Arial"/>
          <w:sz w:val="20"/>
          <w:szCs w:val="20"/>
          <w:lang w:val="en-GB"/>
        </w:rPr>
      </w:pPr>
    </w:p>
    <w:p w:rsidR="000A026E" w:rsidRPr="009F6A55" w:rsidRDefault="000A026E" w:rsidP="00AE53AC">
      <w:pPr>
        <w:numPr>
          <w:ilvl w:val="0"/>
          <w:numId w:val="6"/>
        </w:numPr>
        <w:autoSpaceDE w:val="0"/>
        <w:autoSpaceDN w:val="0"/>
        <w:adjustRightInd w:val="0"/>
        <w:jc w:val="both"/>
        <w:rPr>
          <w:rFonts w:ascii="Arial" w:hAnsi="Arial" w:cs="Arial"/>
          <w:b/>
          <w:sz w:val="20"/>
          <w:szCs w:val="20"/>
          <w:lang w:val="en-GB"/>
        </w:rPr>
      </w:pPr>
      <w:r w:rsidRPr="009F6A55">
        <w:rPr>
          <w:rFonts w:ascii="Arial" w:hAnsi="Arial" w:cs="Arial"/>
          <w:b/>
          <w:sz w:val="20"/>
          <w:szCs w:val="20"/>
          <w:lang w:val="it-IT"/>
        </w:rPr>
        <w:t xml:space="preserve">A. Biondi, M. Schrappe, P. De Lorenzo, A. Castor, G. Lucchini, </w:t>
      </w:r>
      <w:r w:rsidRPr="009F6A55">
        <w:rPr>
          <w:rFonts w:ascii="Arial" w:hAnsi="Arial" w:cs="Arial"/>
          <w:b/>
          <w:i/>
          <w:sz w:val="20"/>
          <w:szCs w:val="20"/>
          <w:u w:val="single"/>
          <w:lang w:val="it-IT"/>
        </w:rPr>
        <w:t>V. Gandemer</w:t>
      </w:r>
      <w:r w:rsidRPr="009F6A55">
        <w:rPr>
          <w:rFonts w:ascii="Arial" w:hAnsi="Arial" w:cs="Arial"/>
          <w:b/>
          <w:sz w:val="20"/>
          <w:szCs w:val="20"/>
          <w:lang w:val="it-IT"/>
        </w:rPr>
        <w:t xml:space="preserve">, R. Pieters, J. Stary, G. Escherich, M. Campbell, C-K. </w:t>
      </w:r>
      <w:r w:rsidRPr="00AE53AC">
        <w:rPr>
          <w:rFonts w:ascii="Arial" w:hAnsi="Arial" w:cs="Arial"/>
          <w:b/>
          <w:sz w:val="20"/>
          <w:szCs w:val="20"/>
          <w:lang w:val="it-IT"/>
        </w:rPr>
        <w:t xml:space="preserve">Li, A. Vora, G. Lönnerholm, M. Aricò, J. Harbott, V. Saha, MG. </w:t>
      </w:r>
      <w:r w:rsidRPr="009F6A55">
        <w:rPr>
          <w:rFonts w:ascii="Arial" w:hAnsi="Arial" w:cs="Arial"/>
          <w:b/>
          <w:sz w:val="20"/>
          <w:szCs w:val="20"/>
          <w:lang w:val="en-GB"/>
        </w:rPr>
        <w:t>Valsecchi</w:t>
      </w:r>
    </w:p>
    <w:p w:rsidR="000A026E" w:rsidRPr="009F6A55" w:rsidRDefault="000A026E" w:rsidP="00AE53AC">
      <w:pPr>
        <w:pStyle w:val="textbody"/>
        <w:spacing w:beforeLines="0" w:afterLines="0" w:after="0"/>
        <w:ind w:left="360"/>
        <w:rPr>
          <w:rFonts w:ascii="Arial" w:hAnsi="Arial" w:cs="Arial"/>
          <w:sz w:val="20"/>
          <w:szCs w:val="20"/>
          <w:lang w:val="en-GB"/>
        </w:rPr>
      </w:pPr>
      <w:r w:rsidRPr="009F6A55">
        <w:rPr>
          <w:rFonts w:ascii="Arial" w:hAnsi="Arial" w:cs="Arial"/>
          <w:sz w:val="20"/>
          <w:szCs w:val="20"/>
          <w:lang w:val="en-US"/>
        </w:rPr>
        <w:t>Efficacy and safety of Imatinib on Top of BFM-like Chemotherapy in Pediatric Patients with Ph+/BCR-ABL+ Acute Lymphoblastic Leukemia (Ph+ALL). The EsPhALL study</w:t>
      </w:r>
    </w:p>
    <w:p w:rsidR="000A026E" w:rsidRDefault="000A026E" w:rsidP="00AE53AC">
      <w:pPr>
        <w:tabs>
          <w:tab w:val="left" w:pos="720"/>
        </w:tabs>
        <w:ind w:left="360"/>
        <w:jc w:val="both"/>
        <w:rPr>
          <w:rFonts w:ascii="Arial" w:hAnsi="Arial" w:cs="Arial"/>
          <w:sz w:val="20"/>
          <w:szCs w:val="20"/>
          <w:lang w:val="en-GB"/>
        </w:rPr>
      </w:pPr>
      <w:r w:rsidRPr="009F6A55">
        <w:rPr>
          <w:rFonts w:ascii="Arial" w:hAnsi="Arial" w:cs="Arial"/>
          <w:sz w:val="20"/>
          <w:szCs w:val="20"/>
          <w:lang w:val="en-US"/>
        </w:rPr>
        <w:t xml:space="preserve">Lancet Oncology </w:t>
      </w:r>
      <w:r w:rsidRPr="009F6A55">
        <w:rPr>
          <w:rFonts w:ascii="Arial" w:hAnsi="Arial" w:cs="Arial"/>
          <w:sz w:val="20"/>
          <w:szCs w:val="20"/>
          <w:lang w:val="en-GB"/>
        </w:rPr>
        <w:t xml:space="preserve">2012 Sep;13(9):936-45. doi: 10.1016/S1470-2045(12)70377-7. </w:t>
      </w:r>
    </w:p>
    <w:p w:rsidR="000A026E" w:rsidRPr="009F6A55" w:rsidRDefault="000A026E" w:rsidP="00AE53AC">
      <w:pPr>
        <w:tabs>
          <w:tab w:val="left" w:pos="720"/>
        </w:tabs>
        <w:ind w:left="360"/>
        <w:jc w:val="both"/>
        <w:rPr>
          <w:rFonts w:ascii="Arial" w:hAnsi="Arial" w:cs="Arial"/>
          <w:i/>
          <w:sz w:val="20"/>
          <w:szCs w:val="20"/>
          <w:lang w:val="en-US"/>
        </w:rPr>
      </w:pPr>
    </w:p>
    <w:p w:rsidR="000A026E" w:rsidRPr="00F87FC2" w:rsidRDefault="000A026E" w:rsidP="00AE53AC">
      <w:pPr>
        <w:numPr>
          <w:ilvl w:val="0"/>
          <w:numId w:val="6"/>
        </w:numPr>
        <w:shd w:val="clear" w:color="auto" w:fill="FFFFFF"/>
        <w:jc w:val="both"/>
        <w:rPr>
          <w:rFonts w:ascii="Arial" w:hAnsi="Arial" w:cs="Arial"/>
          <w:b/>
          <w:bCs/>
          <w:sz w:val="20"/>
          <w:szCs w:val="20"/>
        </w:rPr>
      </w:pPr>
      <w:r w:rsidRPr="001A6B9F">
        <w:rPr>
          <w:rFonts w:ascii="Arial" w:hAnsi="Arial" w:cs="Arial"/>
          <w:b/>
          <w:bCs/>
          <w:sz w:val="20"/>
          <w:szCs w:val="20"/>
        </w:rPr>
        <w:t>Bonneau J, Lebreton J, Taque S, Chappe C, Bayart S, Edan C,</w:t>
      </w:r>
      <w:r w:rsidRPr="002B1F8A">
        <w:rPr>
          <w:rFonts w:ascii="Arial" w:hAnsi="Arial" w:cs="Arial"/>
          <w:b/>
          <w:bCs/>
          <w:sz w:val="20"/>
          <w:szCs w:val="20"/>
          <w:u w:val="single"/>
        </w:rPr>
        <w:t xml:space="preserve"> </w:t>
      </w:r>
      <w:r w:rsidRPr="001A6B9F">
        <w:rPr>
          <w:rFonts w:ascii="Arial" w:hAnsi="Arial" w:cs="Arial"/>
          <w:b/>
          <w:bCs/>
          <w:i/>
          <w:sz w:val="20"/>
          <w:szCs w:val="20"/>
          <w:u w:val="single"/>
        </w:rPr>
        <w:t>Gandemer V</w:t>
      </w:r>
      <w:r w:rsidRPr="00F87FC2">
        <w:rPr>
          <w:rFonts w:ascii="Arial" w:hAnsi="Arial" w:cs="Arial"/>
          <w:b/>
          <w:bCs/>
          <w:sz w:val="20"/>
          <w:szCs w:val="20"/>
        </w:rPr>
        <w:t>.</w:t>
      </w:r>
    </w:p>
    <w:p w:rsidR="000A026E" w:rsidRPr="00F87FC2" w:rsidRDefault="000A026E" w:rsidP="00AE53AC">
      <w:pPr>
        <w:shd w:val="clear" w:color="auto" w:fill="FFFFFF"/>
        <w:ind w:left="360"/>
        <w:jc w:val="both"/>
        <w:rPr>
          <w:rFonts w:ascii="Arial" w:hAnsi="Arial" w:cs="Arial"/>
          <w:sz w:val="20"/>
          <w:szCs w:val="20"/>
          <w:lang w:val="en-GB"/>
        </w:rPr>
      </w:pPr>
      <w:hyperlink r:id="rId5" w:history="1">
        <w:r w:rsidRPr="00F87FC2">
          <w:rPr>
            <w:rFonts w:ascii="Arial" w:hAnsi="Arial" w:cs="Arial"/>
            <w:sz w:val="20"/>
            <w:szCs w:val="20"/>
            <w:lang w:val="en-GB"/>
          </w:rPr>
          <w:t>School performance of childhood cancer survivors: mind the teenagers!</w:t>
        </w:r>
      </w:hyperlink>
    </w:p>
    <w:p w:rsidR="000A026E" w:rsidRDefault="000A026E" w:rsidP="00AE53AC">
      <w:pPr>
        <w:shd w:val="clear" w:color="auto" w:fill="FFFFFF"/>
        <w:ind w:left="360"/>
        <w:jc w:val="both"/>
        <w:rPr>
          <w:rFonts w:ascii="Arial" w:hAnsi="Arial" w:cs="Arial"/>
          <w:sz w:val="20"/>
          <w:szCs w:val="20"/>
          <w:lang w:val="en-GB"/>
        </w:rPr>
      </w:pPr>
      <w:r w:rsidRPr="00F87FC2">
        <w:rPr>
          <w:rFonts w:ascii="Arial" w:hAnsi="Arial" w:cs="Arial"/>
          <w:sz w:val="20"/>
          <w:szCs w:val="20"/>
          <w:lang w:val="en-GB"/>
        </w:rPr>
        <w:t>J Pediatr. 2011 Jan;158(1):135-41. Epub 2010 Sep 1.</w:t>
      </w:r>
    </w:p>
    <w:p w:rsidR="000A026E" w:rsidRDefault="000A026E" w:rsidP="001A6B9F">
      <w:pPr>
        <w:shd w:val="clear" w:color="auto" w:fill="FFFFFF"/>
        <w:jc w:val="both"/>
        <w:rPr>
          <w:rFonts w:ascii="Arial" w:hAnsi="Arial" w:cs="Arial"/>
          <w:sz w:val="20"/>
          <w:szCs w:val="20"/>
          <w:lang w:val="en-GB"/>
        </w:rPr>
      </w:pPr>
    </w:p>
    <w:p w:rsidR="000A026E" w:rsidRPr="007811E7" w:rsidRDefault="000A026E" w:rsidP="00AE53AC">
      <w:pPr>
        <w:numPr>
          <w:ilvl w:val="0"/>
          <w:numId w:val="6"/>
        </w:numPr>
        <w:tabs>
          <w:tab w:val="left" w:pos="142"/>
        </w:tabs>
        <w:jc w:val="both"/>
        <w:rPr>
          <w:rFonts w:ascii="Arial" w:hAnsi="Arial" w:cs="Arial"/>
          <w:b/>
          <w:sz w:val="20"/>
          <w:lang w:val="en-GB"/>
        </w:rPr>
      </w:pPr>
      <w:r w:rsidRPr="007811E7">
        <w:rPr>
          <w:rFonts w:ascii="Arial" w:hAnsi="Arial" w:cs="Arial"/>
          <w:b/>
          <w:i/>
          <w:sz w:val="20"/>
          <w:u w:val="single"/>
          <w:lang w:val="en-GB"/>
        </w:rPr>
        <w:t>V. Gandemer</w:t>
      </w:r>
      <w:r w:rsidRPr="007811E7">
        <w:rPr>
          <w:rFonts w:ascii="Arial" w:hAnsi="Arial" w:cs="Arial"/>
          <w:b/>
          <w:sz w:val="20"/>
          <w:lang w:val="en-GB"/>
        </w:rPr>
        <w:t>, M. Aubry, M. Roussel, AG. Rio, M. de Tayrac, A. Vallee, J. Mosser, B. Ly</w:t>
      </w:r>
      <w:r w:rsidRPr="007811E7">
        <w:rPr>
          <w:rFonts w:ascii="Arial" w:hAnsi="Arial" w:cs="Arial"/>
          <w:b/>
          <w:sz w:val="20"/>
          <w:lang w:val="en-GB"/>
        </w:rPr>
        <w:noBreakHyphen/>
        <w:t>Sunnaram, MD. Galibert</w:t>
      </w:r>
    </w:p>
    <w:p w:rsidR="000A026E" w:rsidRDefault="000A026E" w:rsidP="00B538AC">
      <w:pPr>
        <w:tabs>
          <w:tab w:val="left" w:pos="567"/>
        </w:tabs>
        <w:autoSpaceDE w:val="0"/>
        <w:autoSpaceDN w:val="0"/>
        <w:adjustRightInd w:val="0"/>
        <w:ind w:left="360"/>
        <w:jc w:val="both"/>
        <w:rPr>
          <w:rFonts w:ascii="Arial" w:hAnsi="Arial" w:cs="Arial"/>
          <w:sz w:val="20"/>
          <w:lang w:val="en-GB"/>
        </w:rPr>
      </w:pPr>
      <w:r w:rsidRPr="007811E7">
        <w:rPr>
          <w:rFonts w:ascii="Arial" w:hAnsi="Arial" w:cs="Arial"/>
          <w:sz w:val="20"/>
          <w:lang w:val="en-GB"/>
        </w:rPr>
        <w:t>CD9 expression can be used to predict childhood</w:t>
      </w:r>
      <w:r w:rsidRPr="007811E7">
        <w:rPr>
          <w:rFonts w:ascii="Arial" w:hAnsi="Arial" w:cs="Arial"/>
          <w:i/>
          <w:sz w:val="20"/>
          <w:lang w:val="en-GB"/>
        </w:rPr>
        <w:t xml:space="preserve"> TEL/AML1</w:t>
      </w:r>
      <w:r w:rsidRPr="007811E7">
        <w:rPr>
          <w:rFonts w:ascii="Arial" w:hAnsi="Arial" w:cs="Arial"/>
          <w:sz w:val="20"/>
          <w:lang w:val="en-GB"/>
        </w:rPr>
        <w:t xml:space="preserve"> positive B-ALL: Proposal for an accelerated diagnostic flowchart. </w:t>
      </w:r>
    </w:p>
    <w:p w:rsidR="000A026E" w:rsidRDefault="000A026E" w:rsidP="00B538AC">
      <w:pPr>
        <w:tabs>
          <w:tab w:val="left" w:pos="567"/>
        </w:tabs>
        <w:autoSpaceDE w:val="0"/>
        <w:autoSpaceDN w:val="0"/>
        <w:adjustRightInd w:val="0"/>
        <w:ind w:left="360"/>
        <w:jc w:val="both"/>
        <w:rPr>
          <w:rFonts w:ascii="Arial" w:hAnsi="Arial" w:cs="Arial"/>
          <w:sz w:val="20"/>
          <w:lang w:val="en-GB"/>
        </w:rPr>
      </w:pPr>
      <w:r w:rsidRPr="007811E7">
        <w:rPr>
          <w:rFonts w:ascii="Arial" w:hAnsi="Arial" w:cs="Arial"/>
          <w:sz w:val="20"/>
          <w:lang w:val="en-GB"/>
        </w:rPr>
        <w:t>Leuk Res 2010;34(4)430-37</w:t>
      </w:r>
    </w:p>
    <w:p w:rsidR="000A026E" w:rsidRPr="00AE53AC" w:rsidRDefault="000A026E" w:rsidP="00AE53AC">
      <w:pPr>
        <w:numPr>
          <w:ilvl w:val="0"/>
          <w:numId w:val="6"/>
        </w:numPr>
        <w:jc w:val="both"/>
        <w:rPr>
          <w:rFonts w:ascii="Arial" w:hAnsi="Arial" w:cs="Arial"/>
          <w:b/>
          <w:sz w:val="20"/>
          <w:szCs w:val="20"/>
          <w:lang w:val="en-GB"/>
        </w:rPr>
      </w:pPr>
      <w:smartTag w:uri="urn:schemas-microsoft-com:office:smarttags" w:element="PersonName">
        <w:smartTagPr>
          <w:attr w:name="ProductID" w:val="Gandemer V"/>
        </w:smartTagPr>
        <w:r w:rsidRPr="00AE53AC">
          <w:rPr>
            <w:rFonts w:ascii="Arial" w:hAnsi="Arial" w:cs="Arial"/>
            <w:b/>
            <w:iCs/>
            <w:sz w:val="20"/>
            <w:szCs w:val="20"/>
            <w:u w:val="single"/>
            <w:lang w:val="en-GB"/>
          </w:rPr>
          <w:t>Gandemer V</w:t>
        </w:r>
      </w:smartTag>
      <w:r w:rsidRPr="00AE53AC">
        <w:rPr>
          <w:rFonts w:ascii="Arial" w:hAnsi="Arial" w:cs="Arial"/>
          <w:b/>
          <w:iCs/>
          <w:sz w:val="20"/>
          <w:szCs w:val="20"/>
          <w:u w:val="single"/>
          <w:lang w:val="en-GB"/>
        </w:rPr>
        <w:t>,</w:t>
      </w:r>
      <w:r w:rsidRPr="00AE53AC">
        <w:rPr>
          <w:rFonts w:ascii="Arial" w:hAnsi="Arial" w:cs="Arial"/>
          <w:b/>
          <w:sz w:val="20"/>
          <w:szCs w:val="20"/>
          <w:lang w:val="en-GB"/>
        </w:rPr>
        <w:t xml:space="preserve"> Auclerc MF, Perel Y, Vannier JP, </w:t>
      </w:r>
      <w:smartTag w:uri="urn:schemas-microsoft-com:office:smarttags" w:element="PersonName">
        <w:smartTagPr>
          <w:attr w:name="ProductID" w:val="Le Gall"/>
        </w:smartTagPr>
        <w:r w:rsidRPr="00AE53AC">
          <w:rPr>
            <w:rFonts w:ascii="Arial" w:hAnsi="Arial" w:cs="Arial"/>
            <w:b/>
            <w:sz w:val="20"/>
            <w:szCs w:val="20"/>
            <w:lang w:val="en-GB"/>
          </w:rPr>
          <w:t>Le Gall</w:t>
        </w:r>
      </w:smartTag>
      <w:r w:rsidRPr="00AE53AC">
        <w:rPr>
          <w:rFonts w:ascii="Arial" w:hAnsi="Arial" w:cs="Arial"/>
          <w:b/>
          <w:sz w:val="20"/>
          <w:szCs w:val="20"/>
          <w:lang w:val="en-GB"/>
        </w:rPr>
        <w:t xml:space="preserve"> E, Demeocq F, Schmitt C, Piguet C, Stephan JL, Lejars O, Debre M, Jonveaux P, Cayuela JM, Chevret S, Leverger G and Baruchel A</w:t>
      </w:r>
    </w:p>
    <w:p w:rsidR="000A026E" w:rsidRPr="006A6824" w:rsidRDefault="000A026E" w:rsidP="00AE53AC">
      <w:pPr>
        <w:ind w:left="360"/>
        <w:jc w:val="both"/>
        <w:rPr>
          <w:rFonts w:ascii="Arial" w:hAnsi="Arial" w:cs="Arial"/>
          <w:sz w:val="20"/>
          <w:szCs w:val="20"/>
          <w:lang w:val="en-US"/>
        </w:rPr>
      </w:pPr>
      <w:r w:rsidRPr="006A6824">
        <w:rPr>
          <w:rFonts w:ascii="Arial" w:hAnsi="Arial" w:cs="Arial"/>
          <w:sz w:val="20"/>
          <w:szCs w:val="20"/>
          <w:lang w:val="en-US"/>
        </w:rPr>
        <w:t>Impact of age, leukocyte count and day 21-bone marrow response to chemotherapy on the long term outcome of children with Philadelphia Chromosome-Positive Acute Lymphoblastic Leukemia in the pre-Imatinib era:  results of the FRALLE 93 study.</w:t>
      </w:r>
    </w:p>
    <w:p w:rsidR="000A026E" w:rsidRPr="006A6824" w:rsidRDefault="000A026E" w:rsidP="00AE53AC">
      <w:pPr>
        <w:ind w:left="360"/>
        <w:jc w:val="both"/>
        <w:rPr>
          <w:rFonts w:ascii="Arial" w:hAnsi="Arial" w:cs="Arial"/>
          <w:b/>
          <w:sz w:val="20"/>
          <w:szCs w:val="20"/>
          <w:lang w:val="en-GB"/>
        </w:rPr>
      </w:pPr>
      <w:r w:rsidRPr="006A6824">
        <w:rPr>
          <w:rStyle w:val="journalname"/>
          <w:rFonts w:ascii="Arial" w:hAnsi="Arial" w:cs="Arial"/>
          <w:sz w:val="20"/>
          <w:szCs w:val="20"/>
          <w:lang w:val="en-GB"/>
        </w:rPr>
        <w:t>BMC Cancer</w:t>
      </w:r>
      <w:r w:rsidRPr="006A6824">
        <w:rPr>
          <w:rFonts w:ascii="Arial" w:hAnsi="Arial" w:cs="Arial"/>
          <w:sz w:val="20"/>
          <w:szCs w:val="20"/>
          <w:lang w:val="en-GB"/>
        </w:rPr>
        <w:t>. 2009 Jan 13;9(1):14.</w:t>
      </w:r>
    </w:p>
    <w:p w:rsidR="000A026E" w:rsidRPr="00AE53AC" w:rsidRDefault="000A026E">
      <w:pPr>
        <w:rPr>
          <w:lang w:val="en-US"/>
        </w:rPr>
      </w:pPr>
    </w:p>
    <w:sectPr w:rsidR="000A026E" w:rsidRPr="00AE53AC" w:rsidSect="000A0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25D72"/>
    <w:multiLevelType w:val="hybridMultilevel"/>
    <w:tmpl w:val="62C817D0"/>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
    <w:nsid w:val="439C694D"/>
    <w:multiLevelType w:val="multilevel"/>
    <w:tmpl w:val="33BE584A"/>
    <w:lvl w:ilvl="0">
      <w:start w:val="1"/>
      <w:numFmt w:val="decimal"/>
      <w:lvlText w:val="%1."/>
      <w:lvlJc w:val="left"/>
      <w:pPr>
        <w:tabs>
          <w:tab w:val="num" w:pos="502"/>
        </w:tabs>
        <w:ind w:left="502" w:hanging="360"/>
      </w:pPr>
      <w:rPr>
        <w:rFonts w:cs="Times New Roman"/>
        <w:b/>
        <w:sz w:val="20"/>
        <w:szCs w:val="20"/>
        <w:vertAlign w:val="baseline"/>
      </w:rPr>
    </w:lvl>
    <w:lvl w:ilvl="1">
      <w:start w:val="1"/>
      <w:numFmt w:val="decimal"/>
      <w:lvlText w:val="%2."/>
      <w:lvlJc w:val="left"/>
      <w:pPr>
        <w:tabs>
          <w:tab w:val="num" w:pos="874"/>
        </w:tabs>
        <w:ind w:left="874" w:hanging="360"/>
      </w:pPr>
      <w:rPr>
        <w:rFonts w:cs="Times New Roman"/>
        <w:b/>
        <w:sz w:val="20"/>
        <w:szCs w:val="20"/>
        <w:vertAlign w:val="baseline"/>
      </w:rPr>
    </w:lvl>
    <w:lvl w:ilvl="2">
      <w:start w:val="1"/>
      <w:numFmt w:val="lowerRoman"/>
      <w:lvlText w:val="%3."/>
      <w:lvlJc w:val="right"/>
      <w:pPr>
        <w:tabs>
          <w:tab w:val="num" w:pos="1594"/>
        </w:tabs>
        <w:ind w:left="1594" w:hanging="180"/>
      </w:pPr>
      <w:rPr>
        <w:rFonts w:cs="Times New Roman"/>
      </w:rPr>
    </w:lvl>
    <w:lvl w:ilvl="3">
      <w:start w:val="1"/>
      <w:numFmt w:val="decimal"/>
      <w:lvlText w:val="%4."/>
      <w:lvlJc w:val="left"/>
      <w:pPr>
        <w:tabs>
          <w:tab w:val="num" w:pos="2314"/>
        </w:tabs>
        <w:ind w:left="2314" w:hanging="360"/>
      </w:pPr>
      <w:rPr>
        <w:rFonts w:cs="Times New Roman"/>
      </w:rPr>
    </w:lvl>
    <w:lvl w:ilvl="4">
      <w:start w:val="1"/>
      <w:numFmt w:val="lowerLetter"/>
      <w:lvlText w:val="%5."/>
      <w:lvlJc w:val="left"/>
      <w:pPr>
        <w:tabs>
          <w:tab w:val="num" w:pos="3034"/>
        </w:tabs>
        <w:ind w:left="3034" w:hanging="360"/>
      </w:pPr>
      <w:rPr>
        <w:rFonts w:cs="Times New Roman"/>
      </w:rPr>
    </w:lvl>
    <w:lvl w:ilvl="5">
      <w:start w:val="1"/>
      <w:numFmt w:val="lowerRoman"/>
      <w:lvlText w:val="%6."/>
      <w:lvlJc w:val="right"/>
      <w:pPr>
        <w:tabs>
          <w:tab w:val="num" w:pos="3754"/>
        </w:tabs>
        <w:ind w:left="3754" w:hanging="180"/>
      </w:pPr>
      <w:rPr>
        <w:rFonts w:cs="Times New Roman"/>
      </w:rPr>
    </w:lvl>
    <w:lvl w:ilvl="6">
      <w:start w:val="1"/>
      <w:numFmt w:val="decimal"/>
      <w:lvlText w:val="%7."/>
      <w:lvlJc w:val="left"/>
      <w:pPr>
        <w:tabs>
          <w:tab w:val="num" w:pos="4474"/>
        </w:tabs>
        <w:ind w:left="4474" w:hanging="360"/>
      </w:pPr>
      <w:rPr>
        <w:rFonts w:cs="Times New Roman"/>
      </w:rPr>
    </w:lvl>
    <w:lvl w:ilvl="7">
      <w:start w:val="1"/>
      <w:numFmt w:val="lowerLetter"/>
      <w:lvlText w:val="%8."/>
      <w:lvlJc w:val="left"/>
      <w:pPr>
        <w:tabs>
          <w:tab w:val="num" w:pos="5194"/>
        </w:tabs>
        <w:ind w:left="5194" w:hanging="360"/>
      </w:pPr>
      <w:rPr>
        <w:rFonts w:cs="Times New Roman"/>
      </w:rPr>
    </w:lvl>
    <w:lvl w:ilvl="8">
      <w:start w:val="1"/>
      <w:numFmt w:val="lowerRoman"/>
      <w:lvlText w:val="%9."/>
      <w:lvlJc w:val="right"/>
      <w:pPr>
        <w:tabs>
          <w:tab w:val="num" w:pos="5914"/>
        </w:tabs>
        <w:ind w:left="5914" w:hanging="180"/>
      </w:pPr>
      <w:rPr>
        <w:rFonts w:cs="Times New Roman"/>
      </w:rPr>
    </w:lvl>
  </w:abstractNum>
  <w:abstractNum w:abstractNumId="2">
    <w:nsid w:val="44F24686"/>
    <w:multiLevelType w:val="hybridMultilevel"/>
    <w:tmpl w:val="8E48C4FC"/>
    <w:lvl w:ilvl="0" w:tplc="FFFFFFFF">
      <w:start w:val="1"/>
      <w:numFmt w:val="decimal"/>
      <w:lvlText w:val="%1."/>
      <w:lvlJc w:val="left"/>
      <w:pPr>
        <w:tabs>
          <w:tab w:val="num" w:pos="540"/>
        </w:tabs>
        <w:ind w:left="540" w:hanging="360"/>
      </w:pPr>
      <w:rPr>
        <w:rFonts w:cs="Times New Roman"/>
        <w:b/>
        <w:sz w:val="20"/>
        <w:szCs w:val="20"/>
        <w:vertAlign w:val="baseline"/>
      </w:rPr>
    </w:lvl>
    <w:lvl w:ilvl="1" w:tplc="040C0019" w:tentative="1">
      <w:start w:val="1"/>
      <w:numFmt w:val="lowerLetter"/>
      <w:lvlText w:val="%2."/>
      <w:lvlJc w:val="left"/>
      <w:pPr>
        <w:tabs>
          <w:tab w:val="num" w:pos="1478"/>
        </w:tabs>
        <w:ind w:left="1478" w:hanging="360"/>
      </w:pPr>
      <w:rPr>
        <w:rFonts w:cs="Times New Roman"/>
      </w:rPr>
    </w:lvl>
    <w:lvl w:ilvl="2" w:tplc="040C001B" w:tentative="1">
      <w:start w:val="1"/>
      <w:numFmt w:val="lowerRoman"/>
      <w:lvlText w:val="%3."/>
      <w:lvlJc w:val="right"/>
      <w:pPr>
        <w:tabs>
          <w:tab w:val="num" w:pos="2198"/>
        </w:tabs>
        <w:ind w:left="2198" w:hanging="180"/>
      </w:pPr>
      <w:rPr>
        <w:rFonts w:cs="Times New Roman"/>
      </w:rPr>
    </w:lvl>
    <w:lvl w:ilvl="3" w:tplc="040C000F" w:tentative="1">
      <w:start w:val="1"/>
      <w:numFmt w:val="decimal"/>
      <w:lvlText w:val="%4."/>
      <w:lvlJc w:val="left"/>
      <w:pPr>
        <w:tabs>
          <w:tab w:val="num" w:pos="2918"/>
        </w:tabs>
        <w:ind w:left="2918" w:hanging="360"/>
      </w:pPr>
      <w:rPr>
        <w:rFonts w:cs="Times New Roman"/>
      </w:rPr>
    </w:lvl>
    <w:lvl w:ilvl="4" w:tplc="040C0019" w:tentative="1">
      <w:start w:val="1"/>
      <w:numFmt w:val="lowerLetter"/>
      <w:lvlText w:val="%5."/>
      <w:lvlJc w:val="left"/>
      <w:pPr>
        <w:tabs>
          <w:tab w:val="num" w:pos="3638"/>
        </w:tabs>
        <w:ind w:left="3638" w:hanging="360"/>
      </w:pPr>
      <w:rPr>
        <w:rFonts w:cs="Times New Roman"/>
      </w:rPr>
    </w:lvl>
    <w:lvl w:ilvl="5" w:tplc="040C001B" w:tentative="1">
      <w:start w:val="1"/>
      <w:numFmt w:val="lowerRoman"/>
      <w:lvlText w:val="%6."/>
      <w:lvlJc w:val="right"/>
      <w:pPr>
        <w:tabs>
          <w:tab w:val="num" w:pos="4358"/>
        </w:tabs>
        <w:ind w:left="4358" w:hanging="180"/>
      </w:pPr>
      <w:rPr>
        <w:rFonts w:cs="Times New Roman"/>
      </w:rPr>
    </w:lvl>
    <w:lvl w:ilvl="6" w:tplc="040C000F" w:tentative="1">
      <w:start w:val="1"/>
      <w:numFmt w:val="decimal"/>
      <w:lvlText w:val="%7."/>
      <w:lvlJc w:val="left"/>
      <w:pPr>
        <w:tabs>
          <w:tab w:val="num" w:pos="5078"/>
        </w:tabs>
        <w:ind w:left="5078" w:hanging="360"/>
      </w:pPr>
      <w:rPr>
        <w:rFonts w:cs="Times New Roman"/>
      </w:rPr>
    </w:lvl>
    <w:lvl w:ilvl="7" w:tplc="040C0019" w:tentative="1">
      <w:start w:val="1"/>
      <w:numFmt w:val="lowerLetter"/>
      <w:lvlText w:val="%8."/>
      <w:lvlJc w:val="left"/>
      <w:pPr>
        <w:tabs>
          <w:tab w:val="num" w:pos="5798"/>
        </w:tabs>
        <w:ind w:left="5798" w:hanging="360"/>
      </w:pPr>
      <w:rPr>
        <w:rFonts w:cs="Times New Roman"/>
      </w:rPr>
    </w:lvl>
    <w:lvl w:ilvl="8" w:tplc="040C001B" w:tentative="1">
      <w:start w:val="1"/>
      <w:numFmt w:val="lowerRoman"/>
      <w:lvlText w:val="%9."/>
      <w:lvlJc w:val="right"/>
      <w:pPr>
        <w:tabs>
          <w:tab w:val="num" w:pos="6518"/>
        </w:tabs>
        <w:ind w:left="6518" w:hanging="180"/>
      </w:pPr>
      <w:rPr>
        <w:rFonts w:cs="Times New Roman"/>
      </w:rPr>
    </w:lvl>
  </w:abstractNum>
  <w:abstractNum w:abstractNumId="3">
    <w:nsid w:val="53233611"/>
    <w:multiLevelType w:val="hybridMultilevel"/>
    <w:tmpl w:val="53A07490"/>
    <w:lvl w:ilvl="0" w:tplc="0E7E777E">
      <w:start w:val="1"/>
      <w:numFmt w:val="decimal"/>
      <w:lvlText w:val="%1."/>
      <w:lvlJc w:val="left"/>
      <w:pPr>
        <w:tabs>
          <w:tab w:val="num" w:pos="360"/>
        </w:tabs>
        <w:ind w:left="360" w:hanging="360"/>
      </w:pPr>
      <w:rPr>
        <w:rFonts w:cs="Times New Roman" w:hint="default"/>
        <w:b/>
        <w:i/>
        <w:vertAlign w:val="baseline"/>
      </w:rPr>
    </w:lvl>
    <w:lvl w:ilvl="1" w:tplc="040C0019">
      <w:start w:val="1"/>
      <w:numFmt w:val="lowerLetter"/>
      <w:lvlText w:val="%2."/>
      <w:lvlJc w:val="left"/>
      <w:pPr>
        <w:tabs>
          <w:tab w:val="num" w:pos="796"/>
        </w:tabs>
        <w:ind w:left="796" w:hanging="360"/>
      </w:pPr>
      <w:rPr>
        <w:rFonts w:cs="Times New Roman"/>
      </w:rPr>
    </w:lvl>
    <w:lvl w:ilvl="2" w:tplc="040C001B">
      <w:start w:val="1"/>
      <w:numFmt w:val="lowerRoman"/>
      <w:lvlText w:val="%3."/>
      <w:lvlJc w:val="right"/>
      <w:pPr>
        <w:tabs>
          <w:tab w:val="num" w:pos="1516"/>
        </w:tabs>
        <w:ind w:left="1516" w:hanging="180"/>
      </w:pPr>
      <w:rPr>
        <w:rFonts w:cs="Times New Roman"/>
      </w:rPr>
    </w:lvl>
    <w:lvl w:ilvl="3" w:tplc="040C000F">
      <w:start w:val="1"/>
      <w:numFmt w:val="decimal"/>
      <w:lvlText w:val="%4."/>
      <w:lvlJc w:val="left"/>
      <w:pPr>
        <w:tabs>
          <w:tab w:val="num" w:pos="2236"/>
        </w:tabs>
        <w:ind w:left="2236" w:hanging="360"/>
      </w:pPr>
      <w:rPr>
        <w:rFonts w:cs="Times New Roman"/>
      </w:rPr>
    </w:lvl>
    <w:lvl w:ilvl="4" w:tplc="040C0019">
      <w:start w:val="1"/>
      <w:numFmt w:val="lowerLetter"/>
      <w:lvlText w:val="%5."/>
      <w:lvlJc w:val="left"/>
      <w:pPr>
        <w:tabs>
          <w:tab w:val="num" w:pos="2956"/>
        </w:tabs>
        <w:ind w:left="2956" w:hanging="360"/>
      </w:pPr>
      <w:rPr>
        <w:rFonts w:cs="Times New Roman"/>
      </w:rPr>
    </w:lvl>
    <w:lvl w:ilvl="5" w:tplc="040C001B">
      <w:start w:val="1"/>
      <w:numFmt w:val="lowerRoman"/>
      <w:lvlText w:val="%6."/>
      <w:lvlJc w:val="right"/>
      <w:pPr>
        <w:tabs>
          <w:tab w:val="num" w:pos="3676"/>
        </w:tabs>
        <w:ind w:left="3676" w:hanging="180"/>
      </w:pPr>
      <w:rPr>
        <w:rFonts w:cs="Times New Roman"/>
      </w:rPr>
    </w:lvl>
    <w:lvl w:ilvl="6" w:tplc="040C000F">
      <w:start w:val="1"/>
      <w:numFmt w:val="decimal"/>
      <w:lvlText w:val="%7."/>
      <w:lvlJc w:val="left"/>
      <w:pPr>
        <w:tabs>
          <w:tab w:val="num" w:pos="4396"/>
        </w:tabs>
        <w:ind w:left="4396" w:hanging="360"/>
      </w:pPr>
      <w:rPr>
        <w:rFonts w:cs="Times New Roman"/>
      </w:rPr>
    </w:lvl>
    <w:lvl w:ilvl="7" w:tplc="040C0019">
      <w:start w:val="1"/>
      <w:numFmt w:val="lowerLetter"/>
      <w:lvlText w:val="%8."/>
      <w:lvlJc w:val="left"/>
      <w:pPr>
        <w:tabs>
          <w:tab w:val="num" w:pos="5116"/>
        </w:tabs>
        <w:ind w:left="5116" w:hanging="360"/>
      </w:pPr>
      <w:rPr>
        <w:rFonts w:cs="Times New Roman"/>
      </w:rPr>
    </w:lvl>
    <w:lvl w:ilvl="8" w:tplc="040C001B">
      <w:start w:val="1"/>
      <w:numFmt w:val="lowerRoman"/>
      <w:lvlText w:val="%9."/>
      <w:lvlJc w:val="right"/>
      <w:pPr>
        <w:tabs>
          <w:tab w:val="num" w:pos="5836"/>
        </w:tabs>
        <w:ind w:left="5836" w:hanging="180"/>
      </w:pPr>
      <w:rPr>
        <w:rFonts w:cs="Times New Roman"/>
      </w:rPr>
    </w:lvl>
  </w:abstractNum>
  <w:abstractNum w:abstractNumId="4">
    <w:nsid w:val="625F27B8"/>
    <w:multiLevelType w:val="hybridMultilevel"/>
    <w:tmpl w:val="33BE584A"/>
    <w:lvl w:ilvl="0" w:tplc="FFFFFFFF">
      <w:start w:val="1"/>
      <w:numFmt w:val="decimal"/>
      <w:lvlText w:val="%1."/>
      <w:lvlJc w:val="left"/>
      <w:pPr>
        <w:tabs>
          <w:tab w:val="num" w:pos="502"/>
        </w:tabs>
        <w:ind w:left="502" w:hanging="360"/>
      </w:pPr>
      <w:rPr>
        <w:rFonts w:cs="Times New Roman"/>
        <w:b/>
        <w:sz w:val="20"/>
        <w:szCs w:val="20"/>
        <w:vertAlign w:val="baseline"/>
      </w:rPr>
    </w:lvl>
    <w:lvl w:ilvl="1" w:tplc="040C000F">
      <w:start w:val="1"/>
      <w:numFmt w:val="decimal"/>
      <w:lvlText w:val="%2."/>
      <w:lvlJc w:val="left"/>
      <w:pPr>
        <w:tabs>
          <w:tab w:val="num" w:pos="874"/>
        </w:tabs>
        <w:ind w:left="874" w:hanging="360"/>
      </w:pPr>
      <w:rPr>
        <w:rFonts w:cs="Times New Roman"/>
        <w:b/>
        <w:sz w:val="20"/>
        <w:szCs w:val="20"/>
        <w:vertAlign w:val="baseline"/>
      </w:rPr>
    </w:lvl>
    <w:lvl w:ilvl="2" w:tplc="040C001B" w:tentative="1">
      <w:start w:val="1"/>
      <w:numFmt w:val="lowerRoman"/>
      <w:lvlText w:val="%3."/>
      <w:lvlJc w:val="right"/>
      <w:pPr>
        <w:tabs>
          <w:tab w:val="num" w:pos="1594"/>
        </w:tabs>
        <w:ind w:left="1594" w:hanging="180"/>
      </w:pPr>
      <w:rPr>
        <w:rFonts w:cs="Times New Roman"/>
      </w:rPr>
    </w:lvl>
    <w:lvl w:ilvl="3" w:tplc="040C000F" w:tentative="1">
      <w:start w:val="1"/>
      <w:numFmt w:val="decimal"/>
      <w:lvlText w:val="%4."/>
      <w:lvlJc w:val="left"/>
      <w:pPr>
        <w:tabs>
          <w:tab w:val="num" w:pos="2314"/>
        </w:tabs>
        <w:ind w:left="2314" w:hanging="360"/>
      </w:pPr>
      <w:rPr>
        <w:rFonts w:cs="Times New Roman"/>
      </w:rPr>
    </w:lvl>
    <w:lvl w:ilvl="4" w:tplc="040C0019" w:tentative="1">
      <w:start w:val="1"/>
      <w:numFmt w:val="lowerLetter"/>
      <w:lvlText w:val="%5."/>
      <w:lvlJc w:val="left"/>
      <w:pPr>
        <w:tabs>
          <w:tab w:val="num" w:pos="3034"/>
        </w:tabs>
        <w:ind w:left="3034" w:hanging="360"/>
      </w:pPr>
      <w:rPr>
        <w:rFonts w:cs="Times New Roman"/>
      </w:rPr>
    </w:lvl>
    <w:lvl w:ilvl="5" w:tplc="040C001B" w:tentative="1">
      <w:start w:val="1"/>
      <w:numFmt w:val="lowerRoman"/>
      <w:lvlText w:val="%6."/>
      <w:lvlJc w:val="right"/>
      <w:pPr>
        <w:tabs>
          <w:tab w:val="num" w:pos="3754"/>
        </w:tabs>
        <w:ind w:left="3754" w:hanging="180"/>
      </w:pPr>
      <w:rPr>
        <w:rFonts w:cs="Times New Roman"/>
      </w:rPr>
    </w:lvl>
    <w:lvl w:ilvl="6" w:tplc="040C000F" w:tentative="1">
      <w:start w:val="1"/>
      <w:numFmt w:val="decimal"/>
      <w:lvlText w:val="%7."/>
      <w:lvlJc w:val="left"/>
      <w:pPr>
        <w:tabs>
          <w:tab w:val="num" w:pos="4474"/>
        </w:tabs>
        <w:ind w:left="4474" w:hanging="360"/>
      </w:pPr>
      <w:rPr>
        <w:rFonts w:cs="Times New Roman"/>
      </w:rPr>
    </w:lvl>
    <w:lvl w:ilvl="7" w:tplc="040C0019" w:tentative="1">
      <w:start w:val="1"/>
      <w:numFmt w:val="lowerLetter"/>
      <w:lvlText w:val="%8."/>
      <w:lvlJc w:val="left"/>
      <w:pPr>
        <w:tabs>
          <w:tab w:val="num" w:pos="5194"/>
        </w:tabs>
        <w:ind w:left="5194" w:hanging="360"/>
      </w:pPr>
      <w:rPr>
        <w:rFonts w:cs="Times New Roman"/>
      </w:rPr>
    </w:lvl>
    <w:lvl w:ilvl="8" w:tplc="040C001B" w:tentative="1">
      <w:start w:val="1"/>
      <w:numFmt w:val="lowerRoman"/>
      <w:lvlText w:val="%9."/>
      <w:lvlJc w:val="right"/>
      <w:pPr>
        <w:tabs>
          <w:tab w:val="num" w:pos="5914"/>
        </w:tabs>
        <w:ind w:left="5914" w:hanging="180"/>
      </w:pPr>
      <w:rPr>
        <w:rFonts w:cs="Times New Roman"/>
      </w:rPr>
    </w:lvl>
  </w:abstractNum>
  <w:abstractNum w:abstractNumId="5">
    <w:nsid w:val="664F3488"/>
    <w:multiLevelType w:val="multilevel"/>
    <w:tmpl w:val="62C817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6DE77EA7"/>
    <w:multiLevelType w:val="multilevel"/>
    <w:tmpl w:val="53A07490"/>
    <w:lvl w:ilvl="0">
      <w:start w:val="1"/>
      <w:numFmt w:val="decimal"/>
      <w:lvlText w:val="%1."/>
      <w:lvlJc w:val="left"/>
      <w:pPr>
        <w:tabs>
          <w:tab w:val="num" w:pos="360"/>
        </w:tabs>
        <w:ind w:left="360" w:hanging="360"/>
      </w:pPr>
      <w:rPr>
        <w:rFonts w:cs="Times New Roman" w:hint="default"/>
        <w:b/>
        <w:i/>
        <w:vertAlign w:val="baseline"/>
      </w:r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3AC"/>
    <w:rsid w:val="000A026E"/>
    <w:rsid w:val="00101C7D"/>
    <w:rsid w:val="001A6B9F"/>
    <w:rsid w:val="002949D5"/>
    <w:rsid w:val="002B1F8A"/>
    <w:rsid w:val="002F1381"/>
    <w:rsid w:val="0065632B"/>
    <w:rsid w:val="006A6824"/>
    <w:rsid w:val="006C6AE9"/>
    <w:rsid w:val="007811E7"/>
    <w:rsid w:val="0086445F"/>
    <w:rsid w:val="00954528"/>
    <w:rsid w:val="009F6A55"/>
    <w:rsid w:val="00AE53AC"/>
    <w:rsid w:val="00B538AC"/>
    <w:rsid w:val="00C60DF1"/>
    <w:rsid w:val="00D07A76"/>
    <w:rsid w:val="00F87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
    <w:name w:val="desc"/>
    <w:basedOn w:val="Normal"/>
    <w:uiPriority w:val="99"/>
    <w:rsid w:val="00AE53AC"/>
    <w:pPr>
      <w:spacing w:before="100" w:beforeAutospacing="1" w:after="100" w:afterAutospacing="1"/>
    </w:pPr>
  </w:style>
  <w:style w:type="paragraph" w:customStyle="1" w:styleId="textbody">
    <w:name w:val="textbody"/>
    <w:basedOn w:val="Normal"/>
    <w:uiPriority w:val="99"/>
    <w:rsid w:val="00AE53AC"/>
    <w:pPr>
      <w:spacing w:beforeLines="1" w:afterLines="1" w:after="200"/>
    </w:pPr>
    <w:rPr>
      <w:lang w:eastAsia="fr-FR"/>
    </w:rPr>
  </w:style>
  <w:style w:type="paragraph" w:customStyle="1" w:styleId="details">
    <w:name w:val="details"/>
    <w:basedOn w:val="Normal"/>
    <w:uiPriority w:val="99"/>
    <w:rsid w:val="00AE53AC"/>
    <w:pPr>
      <w:spacing w:before="100" w:beforeAutospacing="1" w:after="100" w:afterAutospacing="1"/>
    </w:pPr>
    <w:rPr>
      <w:lang w:eastAsia="fr-FR"/>
    </w:rPr>
  </w:style>
  <w:style w:type="character" w:customStyle="1" w:styleId="journalname">
    <w:name w:val="journalname"/>
    <w:basedOn w:val="DefaultParagraphFont"/>
    <w:uiPriority w:val="99"/>
    <w:rsid w:val="00AE53AC"/>
    <w:rPr>
      <w:rFonts w:cs="Times New Roman"/>
    </w:rPr>
  </w:style>
  <w:style w:type="character" w:customStyle="1" w:styleId="src1">
    <w:name w:val="src1"/>
    <w:basedOn w:val="DefaultParagraphFont"/>
    <w:uiPriority w:val="99"/>
    <w:rsid w:val="00AE53AC"/>
    <w:rPr>
      <w:rFonts w:cs="Times New Roman"/>
    </w:rPr>
  </w:style>
  <w:style w:type="character" w:customStyle="1" w:styleId="jrnl">
    <w:name w:val="jrnl"/>
    <w:basedOn w:val="DefaultParagraphFont"/>
    <w:uiPriority w:val="99"/>
    <w:rsid w:val="00B538AC"/>
    <w:rPr>
      <w:rFonts w:cs="Times New Roman"/>
    </w:rPr>
  </w:style>
  <w:style w:type="paragraph" w:styleId="Title">
    <w:name w:val="Title"/>
    <w:basedOn w:val="Normal"/>
    <w:link w:val="TitleChar"/>
    <w:uiPriority w:val="99"/>
    <w:qFormat/>
    <w:rsid w:val="00B538AC"/>
    <w:pPr>
      <w:spacing w:before="100" w:beforeAutospacing="1" w:after="100" w:afterAutospacing="1"/>
    </w:pPr>
  </w:style>
  <w:style w:type="character" w:customStyle="1" w:styleId="TitleChar">
    <w:name w:val="Title Char"/>
    <w:basedOn w:val="DefaultParagraphFont"/>
    <w:link w:val="Title"/>
    <w:uiPriority w:val="10"/>
    <w:rsid w:val="006059BE"/>
    <w:rPr>
      <w:rFonts w:asciiTheme="majorHAnsi" w:eastAsiaTheme="majorEastAsia" w:hAnsiTheme="majorHAnsi" w:cstheme="majorBidi"/>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09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gate1.inist.fr/pubmed/208133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619</Words>
  <Characters>3406</Characters>
  <Application>Microsoft Office Word</Application>
  <DocSecurity>0</DocSecurity>
  <Lines>0</Lines>
  <Paragraphs>0</Paragraphs>
  <ScaleCrop>false</ScaleCrop>
  <Company>CHU-RENNES</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Publications sur 5 années</dc:title>
  <dc:subject/>
  <dc:creator>gandemer</dc:creator>
  <cp:keywords/>
  <dc:description/>
  <cp:lastModifiedBy>gandemer</cp:lastModifiedBy>
  <cp:revision>2</cp:revision>
  <dcterms:created xsi:type="dcterms:W3CDTF">2014-08-25T09:21:00Z</dcterms:created>
  <dcterms:modified xsi:type="dcterms:W3CDTF">2014-08-25T09:21:00Z</dcterms:modified>
</cp:coreProperties>
</file>